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115"/>
        <w:tblW w:w="10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800"/>
        <w:gridCol w:w="2959"/>
        <w:gridCol w:w="1181"/>
        <w:gridCol w:w="2363"/>
      </w:tblGrid>
      <w:tr w:rsidR="0087320B" w:rsidRPr="00766C14" w14:paraId="0F41C98A" w14:textId="77777777" w:rsidTr="00BE766A">
        <w:trPr>
          <w:trHeight w:val="227"/>
        </w:trPr>
        <w:tc>
          <w:tcPr>
            <w:tcW w:w="3776" w:type="dxa"/>
            <w:gridSpan w:val="2"/>
            <w:vMerge w:val="restart"/>
            <w:vAlign w:val="center"/>
          </w:tcPr>
          <w:p w14:paraId="4B8A9E80" w14:textId="3A7FCC0F" w:rsidR="0087320B" w:rsidRPr="00766C14" w:rsidRDefault="0087320B" w:rsidP="0087320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  <w:t>CENTRE UNIVERSITAIRE NOUR BACHIR EL BAYADH</w:t>
            </w:r>
          </w:p>
        </w:tc>
        <w:tc>
          <w:tcPr>
            <w:tcW w:w="4140" w:type="dxa"/>
            <w:gridSpan w:val="2"/>
            <w:vMerge w:val="restart"/>
            <w:vAlign w:val="center"/>
          </w:tcPr>
          <w:p w14:paraId="1FEF81F9" w14:textId="58F1FD3C" w:rsidR="0087320B" w:rsidRPr="00766C14" w:rsidRDefault="0087320B" w:rsidP="0087320B">
            <w:pPr>
              <w:spacing w:before="120" w:after="240"/>
              <w:jc w:val="center"/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</w:pPr>
            <w:r w:rsidRPr="00766C14"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  <w:t>SERIE DE TD  N°0</w:t>
            </w:r>
            <w:r>
              <w:rPr>
                <w:rFonts w:ascii="Baskerville Old Face" w:hAnsi="Baskerville Old Face" w:cs="Times New Roman"/>
                <w:b/>
                <w:bCs/>
                <w:sz w:val="20"/>
                <w:szCs w:val="20"/>
                <w:lang w:val="fr-FR"/>
              </w:rPr>
              <w:t>6</w:t>
            </w:r>
          </w:p>
        </w:tc>
        <w:tc>
          <w:tcPr>
            <w:tcW w:w="2363" w:type="dxa"/>
            <w:vAlign w:val="center"/>
          </w:tcPr>
          <w:p w14:paraId="4259EF65" w14:textId="4FA180F5" w:rsidR="0087320B" w:rsidRPr="00766C14" w:rsidRDefault="0087320B" w:rsidP="0087320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Cycle : Licence</w:t>
            </w:r>
          </w:p>
        </w:tc>
      </w:tr>
      <w:tr w:rsidR="0087320B" w:rsidRPr="00766C14" w14:paraId="724B2735" w14:textId="77777777" w:rsidTr="00BE766A">
        <w:trPr>
          <w:trHeight w:val="432"/>
        </w:trPr>
        <w:tc>
          <w:tcPr>
            <w:tcW w:w="3776" w:type="dxa"/>
            <w:gridSpan w:val="2"/>
            <w:vMerge/>
            <w:vAlign w:val="center"/>
          </w:tcPr>
          <w:p w14:paraId="69DD706C" w14:textId="77777777" w:rsidR="0087320B" w:rsidRPr="00766C14" w:rsidRDefault="0087320B" w:rsidP="0087320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gridSpan w:val="2"/>
            <w:vMerge/>
            <w:vAlign w:val="center"/>
          </w:tcPr>
          <w:p w14:paraId="6F2ECF66" w14:textId="77777777" w:rsidR="0087320B" w:rsidRPr="00766C14" w:rsidRDefault="0087320B" w:rsidP="0087320B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2363" w:type="dxa"/>
            <w:vAlign w:val="center"/>
          </w:tcPr>
          <w:p w14:paraId="71D77908" w14:textId="19E4743F" w:rsidR="0087320B" w:rsidRPr="00766C14" w:rsidRDefault="0087320B" w:rsidP="0087320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  <w:t>Niveau:   3 ANNEE</w:t>
            </w:r>
          </w:p>
        </w:tc>
      </w:tr>
      <w:tr w:rsidR="0087320B" w:rsidRPr="00766C14" w14:paraId="165DAB47" w14:textId="77777777" w:rsidTr="006442CA">
        <w:trPr>
          <w:trHeight w:val="227"/>
        </w:trPr>
        <w:tc>
          <w:tcPr>
            <w:tcW w:w="1976" w:type="dxa"/>
            <w:vAlign w:val="center"/>
          </w:tcPr>
          <w:p w14:paraId="482C0D78" w14:textId="461C397A" w:rsidR="0087320B" w:rsidRPr="00766C14" w:rsidRDefault="0087320B" w:rsidP="0087320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Institut</w:t>
            </w:r>
          </w:p>
        </w:tc>
        <w:tc>
          <w:tcPr>
            <w:tcW w:w="1800" w:type="dxa"/>
            <w:vAlign w:val="center"/>
          </w:tcPr>
          <w:p w14:paraId="5D0DA01D" w14:textId="7D6714AB" w:rsidR="0087320B" w:rsidRPr="00766C14" w:rsidRDefault="0087320B" w:rsidP="0087320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Technologies</w:t>
            </w:r>
          </w:p>
        </w:tc>
        <w:tc>
          <w:tcPr>
            <w:tcW w:w="2959" w:type="dxa"/>
            <w:vMerge w:val="restart"/>
            <w:vAlign w:val="center"/>
          </w:tcPr>
          <w:p w14:paraId="6EC46B79" w14:textId="2D15F29C" w:rsidR="0087320B" w:rsidRPr="00766C14" w:rsidRDefault="0087320B" w:rsidP="0087320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766C14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Module: </w:t>
            </w:r>
            <w:r w:rsidRPr="00F009CC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  <w:lang w:val="fr-FR" w:eastAsia="fr-FR"/>
              </w:rPr>
              <w:t>Systèmes Asservis</w:t>
            </w:r>
          </w:p>
        </w:tc>
        <w:tc>
          <w:tcPr>
            <w:tcW w:w="1181" w:type="dxa"/>
            <w:vMerge w:val="restart"/>
            <w:vAlign w:val="center"/>
          </w:tcPr>
          <w:p w14:paraId="005BF33A" w14:textId="7FE745F7" w:rsidR="0087320B" w:rsidRPr="00766C14" w:rsidRDefault="0087320B" w:rsidP="0087320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Institut</w:t>
            </w:r>
          </w:p>
        </w:tc>
        <w:tc>
          <w:tcPr>
            <w:tcW w:w="2363" w:type="dxa"/>
            <w:vMerge w:val="restart"/>
            <w:vAlign w:val="center"/>
          </w:tcPr>
          <w:p w14:paraId="628EABB2" w14:textId="0DD56C44" w:rsidR="0087320B" w:rsidRPr="00766C14" w:rsidRDefault="0087320B" w:rsidP="0087320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Technologies</w:t>
            </w:r>
          </w:p>
        </w:tc>
      </w:tr>
      <w:tr w:rsidR="009261AD" w:rsidRPr="00766C14" w14:paraId="0B65FBC7" w14:textId="77777777" w:rsidTr="00BE766A">
        <w:trPr>
          <w:trHeight w:val="219"/>
        </w:trPr>
        <w:tc>
          <w:tcPr>
            <w:tcW w:w="1976" w:type="dxa"/>
            <w:vAlign w:val="center"/>
          </w:tcPr>
          <w:p w14:paraId="22807BF7" w14:textId="77777777" w:rsidR="009261AD" w:rsidRPr="00766C14" w:rsidRDefault="009261AD" w:rsidP="00BE766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Département</w:t>
            </w:r>
          </w:p>
        </w:tc>
        <w:tc>
          <w:tcPr>
            <w:tcW w:w="1800" w:type="dxa"/>
            <w:vAlign w:val="center"/>
          </w:tcPr>
          <w:p w14:paraId="36207CE9" w14:textId="77777777" w:rsidR="009261AD" w:rsidRPr="00766C14" w:rsidRDefault="009261AD" w:rsidP="00BE766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  <w:r w:rsidRPr="00766C14"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  <w:t>Génie Mécanique</w:t>
            </w:r>
          </w:p>
        </w:tc>
        <w:tc>
          <w:tcPr>
            <w:tcW w:w="2959" w:type="dxa"/>
            <w:vMerge/>
            <w:vAlign w:val="center"/>
          </w:tcPr>
          <w:p w14:paraId="1764C9BE" w14:textId="77777777" w:rsidR="009261AD" w:rsidRPr="00766C14" w:rsidRDefault="009261AD" w:rsidP="00BE766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14:paraId="109C425C" w14:textId="77777777" w:rsidR="009261AD" w:rsidRPr="00766C14" w:rsidRDefault="009261AD" w:rsidP="00BE766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 w:bidi="ar-DZ"/>
              </w:rPr>
            </w:pPr>
          </w:p>
        </w:tc>
        <w:tc>
          <w:tcPr>
            <w:tcW w:w="2363" w:type="dxa"/>
            <w:vMerge/>
            <w:vAlign w:val="center"/>
          </w:tcPr>
          <w:p w14:paraId="55AA9013" w14:textId="77777777" w:rsidR="009261AD" w:rsidRPr="00766C14" w:rsidRDefault="009261AD" w:rsidP="00BE766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fr-FR" w:eastAsia="fr-FR"/>
              </w:rPr>
            </w:pPr>
          </w:p>
        </w:tc>
      </w:tr>
    </w:tbl>
    <w:p w14:paraId="6278B0B9" w14:textId="77777777" w:rsidR="009261AD" w:rsidRDefault="009261AD" w:rsidP="009261A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DD6739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1:</w:t>
      </w:r>
    </w:p>
    <w:p w14:paraId="4B208239" w14:textId="77777777" w:rsidR="009261AD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>En utilisant le critère algébrique de Routh-Hurwitz, déterminez la stabilité en boucle fermée des systèmes asservis suivants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413"/>
      </w:tblGrid>
      <w:tr w:rsidR="009261AD" w:rsidRPr="00E54C81" w14:paraId="22CDB89B" w14:textId="77777777" w:rsidTr="009261AD">
        <w:trPr>
          <w:trHeight w:val="2045"/>
        </w:trPr>
        <w:tc>
          <w:tcPr>
            <w:tcW w:w="4874" w:type="dxa"/>
          </w:tcPr>
          <w:p w14:paraId="39309674" w14:textId="77777777" w:rsidR="009261AD" w:rsidRPr="00E54C81" w:rsidRDefault="009261AD" w:rsidP="00E54C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fr-FR"/>
              </w:rPr>
            </w:pPr>
            <w:r w:rsidRPr="00E54C81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fr-FR" w:eastAsia="fr-FR"/>
              </w:rPr>
              <w:drawing>
                <wp:inline distT="0" distB="0" distL="0" distR="0" wp14:anchorId="15584B88" wp14:editId="77566BA2">
                  <wp:extent cx="3023235" cy="1268730"/>
                  <wp:effectExtent l="19050" t="0" r="571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235" cy="126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1808C080" w14:textId="77777777" w:rsidR="009261AD" w:rsidRPr="00E54C81" w:rsidRDefault="009261AD" w:rsidP="00E54C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fr-FR"/>
              </w:rPr>
            </w:pPr>
            <w:r w:rsidRPr="00E54C81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fr-FR" w:eastAsia="fr-FR"/>
              </w:rPr>
              <w:drawing>
                <wp:inline distT="0" distB="0" distL="0" distR="0" wp14:anchorId="496C0DC7" wp14:editId="515962BC">
                  <wp:extent cx="2726724" cy="1480835"/>
                  <wp:effectExtent l="1905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204" cy="148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FDE6F" w14:textId="77777777" w:rsidR="009261AD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</w:t>
      </w:r>
      <w:r w:rsidR="00E54C81" w:rsidRPr="00E54C81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2</w:t>
      </w:r>
      <w:r w:rsidRPr="00E54C81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14:paraId="4C753725" w14:textId="77777777" w:rsidR="002006C2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>On considère les systèmes de</w:t>
      </w:r>
      <w:r w:rsidR="002006C2"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fonction</w:t>
      </w:r>
      <w:r w:rsidR="002006C2"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de transfert en boucle ouverte G(p) définie par</w:t>
      </w:r>
    </w:p>
    <w:p w14:paraId="47D152B8" w14:textId="77777777" w:rsidR="009261AD" w:rsidRPr="00E54C81" w:rsidRDefault="002006C2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a)    </w:t>
      </w:r>
      <w:r w:rsidRPr="00E54C81">
        <w:rPr>
          <w:rFonts w:asciiTheme="majorBidi" w:hAnsiTheme="majorBidi" w:cstheme="majorBidi"/>
          <w:position w:val="-28"/>
          <w:sz w:val="24"/>
          <w:szCs w:val="24"/>
          <w:lang w:val="fr-FR"/>
        </w:rPr>
        <w:object w:dxaOrig="1620" w:dyaOrig="660" w14:anchorId="6D2D9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27.75pt" o:ole="">
            <v:imagedata r:id="rId7" o:title=""/>
          </v:shape>
          <o:OLEObject Type="Embed" ProgID="Equation.DSMT4" ShapeID="_x0000_i1025" DrawAspect="Content" ObjectID="_1787499731" r:id="rId8"/>
        </w:object>
      </w:r>
    </w:p>
    <w:p w14:paraId="445F333C" w14:textId="77777777" w:rsidR="002006C2" w:rsidRPr="00E54C81" w:rsidRDefault="002006C2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b)   </w:t>
      </w:r>
      <w:r w:rsidRPr="00E54C81">
        <w:rPr>
          <w:rFonts w:asciiTheme="majorBidi" w:hAnsiTheme="majorBidi" w:cstheme="majorBidi"/>
          <w:position w:val="-28"/>
          <w:sz w:val="24"/>
          <w:szCs w:val="24"/>
          <w:lang w:val="fr-FR"/>
        </w:rPr>
        <w:object w:dxaOrig="1840" w:dyaOrig="660" w14:anchorId="0A3FD212">
          <v:shape id="_x0000_i1026" type="#_x0000_t75" style="width:115.5pt;height:27.75pt" o:ole="">
            <v:imagedata r:id="rId9" o:title=""/>
          </v:shape>
          <o:OLEObject Type="Embed" ProgID="Equation.DSMT4" ShapeID="_x0000_i1026" DrawAspect="Content" ObjectID="_1787499732" r:id="rId10"/>
        </w:object>
      </w:r>
    </w:p>
    <w:p w14:paraId="133D6F33" w14:textId="77777777" w:rsidR="009261AD" w:rsidRPr="00E54C81" w:rsidRDefault="009261AD" w:rsidP="00E54C8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Est-ce que le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système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sont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stable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en boucle ouverte, expliquez-vous ?</w:t>
      </w:r>
    </w:p>
    <w:p w14:paraId="36DFA84E" w14:textId="77777777" w:rsidR="009261AD" w:rsidRPr="00E54C81" w:rsidRDefault="009261AD" w:rsidP="00E54C8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Déterminer à l’aide du critère de Nyquist les conditions de stabilité de ce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système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> ?</w:t>
      </w:r>
    </w:p>
    <w:p w14:paraId="3D489BB1" w14:textId="77777777" w:rsidR="009261AD" w:rsidRPr="00E54C81" w:rsidRDefault="009261AD" w:rsidP="00E54C8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Vérifier la stabilité du système par l’utilisation du critère de routh, lorsque le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système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sont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placé</w:t>
      </w:r>
      <w:r w:rsidR="00E54C81">
        <w:rPr>
          <w:rFonts w:asciiTheme="majorBidi" w:hAnsiTheme="majorBidi" w:cstheme="majorBidi"/>
          <w:sz w:val="24"/>
          <w:szCs w:val="24"/>
          <w:lang w:val="fr-FR"/>
        </w:rPr>
        <w:t>s</w:t>
      </w:r>
      <w:r w:rsidRPr="00E54C81">
        <w:rPr>
          <w:rFonts w:asciiTheme="majorBidi" w:hAnsiTheme="majorBidi" w:cstheme="majorBidi"/>
          <w:sz w:val="24"/>
          <w:szCs w:val="24"/>
          <w:lang w:val="fr-FR"/>
        </w:rPr>
        <w:t xml:space="preserve"> dans une boucle à retour unitaire ?</w:t>
      </w:r>
    </w:p>
    <w:p w14:paraId="2589A999" w14:textId="77777777" w:rsidR="009261AD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b/>
          <w:color w:val="000000"/>
          <w:sz w:val="24"/>
          <w:szCs w:val="24"/>
          <w:lang w:val="fr-FR"/>
        </w:rPr>
        <w:t xml:space="preserve">Exercice N° 03 : </w:t>
      </w:r>
    </w:p>
    <w:p w14:paraId="2D3C1352" w14:textId="77777777" w:rsidR="009261AD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>Considérons un système de fonction de transfert en boucle ouverte G(p) placé dans une boucle de régulation à retour unitaire,</w:t>
      </w:r>
    </w:p>
    <w:p w14:paraId="74BE083A" w14:textId="77777777" w:rsidR="009261AD" w:rsidRPr="00E54C81" w:rsidRDefault="009261AD" w:rsidP="00E54C8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                                            </w:t>
      </w:r>
      <w:r w:rsidRPr="00E54C81">
        <w:rPr>
          <w:rFonts w:asciiTheme="majorBidi" w:hAnsiTheme="majorBidi" w:cstheme="majorBidi"/>
          <w:position w:val="-54"/>
          <w:sz w:val="24"/>
          <w:szCs w:val="24"/>
          <w:lang w:val="fr-FR"/>
        </w:rPr>
        <w:object w:dxaOrig="1680" w:dyaOrig="920" w14:anchorId="4D6ABEDA">
          <v:shape id="_x0000_i1027" type="#_x0000_t75" style="width:105.75pt;height:39pt" o:ole="">
            <v:imagedata r:id="rId11" o:title=""/>
          </v:shape>
          <o:OLEObject Type="Embed" ProgID="Equation.DSMT4" ShapeID="_x0000_i1027" DrawAspect="Content" ObjectID="_1787499733" r:id="rId12"/>
        </w:object>
      </w:r>
    </w:p>
    <w:p w14:paraId="394E984D" w14:textId="77777777" w:rsidR="009261AD" w:rsidRPr="00E54C81" w:rsidRDefault="009261AD" w:rsidP="00E54C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Calculer la marge du gain de ce système ?</w:t>
      </w:r>
    </w:p>
    <w:p w14:paraId="173585EF" w14:textId="77777777" w:rsidR="009261AD" w:rsidRPr="00E54C81" w:rsidRDefault="009261AD" w:rsidP="00E54C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Calculer  la marge de phase de ce système ?</w:t>
      </w:r>
    </w:p>
    <w:p w14:paraId="7B5FF1FF" w14:textId="77777777" w:rsidR="009261AD" w:rsidRPr="00E54C81" w:rsidRDefault="009261AD" w:rsidP="00E54C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54C81">
        <w:rPr>
          <w:rFonts w:asciiTheme="majorBidi" w:hAnsiTheme="majorBidi" w:cstheme="majorBidi"/>
          <w:sz w:val="24"/>
          <w:szCs w:val="24"/>
          <w:lang w:val="fr-FR"/>
        </w:rPr>
        <w:t>Est ce que le système est stable, expliquez-vous ?</w:t>
      </w:r>
    </w:p>
    <w:p w14:paraId="2AD3AB1D" w14:textId="77777777" w:rsidR="0097526E" w:rsidRPr="0087320B" w:rsidRDefault="0097526E">
      <w:pPr>
        <w:rPr>
          <w:lang w:val="fr-FR"/>
        </w:rPr>
      </w:pPr>
    </w:p>
    <w:sectPr w:rsidR="0097526E" w:rsidRPr="0087320B" w:rsidSect="00E85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A25CC"/>
    <w:multiLevelType w:val="hybridMultilevel"/>
    <w:tmpl w:val="7786BF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111E4"/>
    <w:multiLevelType w:val="hybridMultilevel"/>
    <w:tmpl w:val="F08E12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98232">
    <w:abstractNumId w:val="1"/>
  </w:num>
  <w:num w:numId="2" w16cid:durableId="64489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1AD"/>
    <w:rsid w:val="000315E2"/>
    <w:rsid w:val="00155B4E"/>
    <w:rsid w:val="002006C2"/>
    <w:rsid w:val="003752A2"/>
    <w:rsid w:val="004504DF"/>
    <w:rsid w:val="005D5608"/>
    <w:rsid w:val="0087320B"/>
    <w:rsid w:val="009261AD"/>
    <w:rsid w:val="0097526E"/>
    <w:rsid w:val="00DA325D"/>
    <w:rsid w:val="00E54C81"/>
    <w:rsid w:val="00E56866"/>
    <w:rsid w:val="00E85547"/>
    <w:rsid w:val="00F8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D3D4"/>
  <w15:docId w15:val="{4237BAB9-2EE5-453D-BE67-0CD99295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1AD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61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61AD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Hocine</dc:creator>
  <cp:lastModifiedBy>Hocine Guentri</cp:lastModifiedBy>
  <cp:revision>2</cp:revision>
  <dcterms:created xsi:type="dcterms:W3CDTF">2018-05-05T07:47:00Z</dcterms:created>
  <dcterms:modified xsi:type="dcterms:W3CDTF">2024-09-10T16:56:00Z</dcterms:modified>
</cp:coreProperties>
</file>