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115"/>
        <w:tblW w:w="10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6"/>
        <w:gridCol w:w="1800"/>
        <w:gridCol w:w="2959"/>
        <w:gridCol w:w="1181"/>
        <w:gridCol w:w="2363"/>
      </w:tblGrid>
      <w:tr w:rsidR="0087320B" w:rsidRPr="00766C14" w14:paraId="0F41C98A" w14:textId="77777777" w:rsidTr="00BE766A">
        <w:trPr>
          <w:trHeight w:val="227"/>
        </w:trPr>
        <w:tc>
          <w:tcPr>
            <w:tcW w:w="3776" w:type="dxa"/>
            <w:gridSpan w:val="2"/>
            <w:vMerge w:val="restart"/>
            <w:vAlign w:val="center"/>
          </w:tcPr>
          <w:p w14:paraId="4B8A9E80" w14:textId="3A7FCC0F" w:rsidR="0087320B" w:rsidRPr="00766C14" w:rsidRDefault="0087320B" w:rsidP="0087320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/>
              </w:rPr>
              <w:t>CENTRE UNIVERSITAIRE NOUR BACHIR EL BAYADH</w:t>
            </w:r>
          </w:p>
        </w:tc>
        <w:tc>
          <w:tcPr>
            <w:tcW w:w="4140" w:type="dxa"/>
            <w:gridSpan w:val="2"/>
            <w:vMerge w:val="restart"/>
            <w:vAlign w:val="center"/>
          </w:tcPr>
          <w:p w14:paraId="1FEF81F9" w14:textId="58F1FD3C" w:rsidR="0087320B" w:rsidRPr="00766C14" w:rsidRDefault="0087320B" w:rsidP="0087320B">
            <w:pPr>
              <w:spacing w:before="120" w:after="240"/>
              <w:jc w:val="center"/>
              <w:rPr>
                <w:rFonts w:ascii="Baskerville Old Face" w:hAnsi="Baskerville Old Face" w:cs="Times New Roman"/>
                <w:b/>
                <w:bCs/>
                <w:sz w:val="20"/>
                <w:szCs w:val="20"/>
                <w:lang w:val="fr-FR"/>
              </w:rPr>
            </w:pPr>
            <w:r w:rsidRPr="00766C14">
              <w:rPr>
                <w:rFonts w:ascii="Baskerville Old Face" w:hAnsi="Baskerville Old Face" w:cs="Times New Roman"/>
                <w:b/>
                <w:bCs/>
                <w:sz w:val="20"/>
                <w:szCs w:val="20"/>
                <w:lang w:val="fr-FR"/>
              </w:rPr>
              <w:t>SERIE DE TD  N°0</w:t>
            </w:r>
            <w:r>
              <w:rPr>
                <w:rFonts w:ascii="Baskerville Old Face" w:hAnsi="Baskerville Old Face" w:cs="Times New Roman"/>
                <w:b/>
                <w:bCs/>
                <w:sz w:val="20"/>
                <w:szCs w:val="20"/>
                <w:lang w:val="fr-FR"/>
              </w:rPr>
              <w:t>6</w:t>
            </w:r>
          </w:p>
        </w:tc>
        <w:tc>
          <w:tcPr>
            <w:tcW w:w="2363" w:type="dxa"/>
            <w:vAlign w:val="center"/>
          </w:tcPr>
          <w:p w14:paraId="4259EF65" w14:textId="4FA180F5" w:rsidR="0087320B" w:rsidRPr="00766C14" w:rsidRDefault="0087320B" w:rsidP="0087320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</w:pPr>
            <w:r w:rsidRPr="00766C14"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  <w:t>Cycle : Licence</w:t>
            </w:r>
          </w:p>
        </w:tc>
      </w:tr>
      <w:tr w:rsidR="0087320B" w:rsidRPr="00766C14" w14:paraId="724B2735" w14:textId="77777777" w:rsidTr="00BE766A">
        <w:trPr>
          <w:trHeight w:val="432"/>
        </w:trPr>
        <w:tc>
          <w:tcPr>
            <w:tcW w:w="3776" w:type="dxa"/>
            <w:gridSpan w:val="2"/>
            <w:vMerge/>
            <w:vAlign w:val="center"/>
          </w:tcPr>
          <w:p w14:paraId="69DD706C" w14:textId="77777777" w:rsidR="0087320B" w:rsidRPr="00766C14" w:rsidRDefault="0087320B" w:rsidP="0087320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4140" w:type="dxa"/>
            <w:gridSpan w:val="2"/>
            <w:vMerge/>
            <w:vAlign w:val="center"/>
          </w:tcPr>
          <w:p w14:paraId="6F2ECF66" w14:textId="77777777" w:rsidR="0087320B" w:rsidRPr="00766C14" w:rsidRDefault="0087320B" w:rsidP="0087320B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2363" w:type="dxa"/>
            <w:vAlign w:val="center"/>
          </w:tcPr>
          <w:p w14:paraId="71D77908" w14:textId="19E4743F" w:rsidR="0087320B" w:rsidRPr="00766C14" w:rsidRDefault="0087320B" w:rsidP="0087320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</w:pPr>
            <w:r w:rsidRPr="00766C14"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/>
              </w:rPr>
              <w:t>Niveau:   3 ANNEE</w:t>
            </w:r>
          </w:p>
        </w:tc>
      </w:tr>
      <w:tr w:rsidR="0087320B" w:rsidRPr="00766C14" w14:paraId="165DAB47" w14:textId="77777777" w:rsidTr="006442CA">
        <w:trPr>
          <w:trHeight w:val="227"/>
        </w:trPr>
        <w:tc>
          <w:tcPr>
            <w:tcW w:w="1976" w:type="dxa"/>
            <w:vAlign w:val="center"/>
          </w:tcPr>
          <w:p w14:paraId="482C0D78" w14:textId="461C397A" w:rsidR="0087320B" w:rsidRPr="00766C14" w:rsidRDefault="0087320B" w:rsidP="0087320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  <w:t>Institut</w:t>
            </w:r>
          </w:p>
        </w:tc>
        <w:tc>
          <w:tcPr>
            <w:tcW w:w="1800" w:type="dxa"/>
            <w:vAlign w:val="center"/>
          </w:tcPr>
          <w:p w14:paraId="5D0DA01D" w14:textId="7D6714AB" w:rsidR="0087320B" w:rsidRPr="00766C14" w:rsidRDefault="0087320B" w:rsidP="0087320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  <w:t>Technologies</w:t>
            </w:r>
          </w:p>
        </w:tc>
        <w:tc>
          <w:tcPr>
            <w:tcW w:w="2959" w:type="dxa"/>
            <w:vMerge w:val="restart"/>
            <w:vAlign w:val="center"/>
          </w:tcPr>
          <w:p w14:paraId="6EC46B79" w14:textId="2D15F29C" w:rsidR="0087320B" w:rsidRPr="00766C14" w:rsidRDefault="0087320B" w:rsidP="0087320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766C14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val="fr-FR" w:eastAsia="fr-FR"/>
              </w:rPr>
              <w:t xml:space="preserve">Module: </w:t>
            </w:r>
            <w:r w:rsidRPr="00F009C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val="fr-FR" w:eastAsia="fr-FR"/>
              </w:rPr>
              <w:t>Systèmes Asservis</w:t>
            </w:r>
          </w:p>
        </w:tc>
        <w:tc>
          <w:tcPr>
            <w:tcW w:w="1181" w:type="dxa"/>
            <w:vMerge w:val="restart"/>
            <w:vAlign w:val="center"/>
          </w:tcPr>
          <w:p w14:paraId="005BF33A" w14:textId="7FE745F7" w:rsidR="0087320B" w:rsidRPr="00766C14" w:rsidRDefault="0087320B" w:rsidP="0087320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  <w:t>Institut</w:t>
            </w:r>
          </w:p>
        </w:tc>
        <w:tc>
          <w:tcPr>
            <w:tcW w:w="2363" w:type="dxa"/>
            <w:vMerge w:val="restart"/>
            <w:vAlign w:val="center"/>
          </w:tcPr>
          <w:p w14:paraId="628EABB2" w14:textId="0DD56C44" w:rsidR="0087320B" w:rsidRPr="00766C14" w:rsidRDefault="0087320B" w:rsidP="0087320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  <w:t>Technologies</w:t>
            </w:r>
          </w:p>
        </w:tc>
      </w:tr>
      <w:tr w:rsidR="009261AD" w:rsidRPr="00766C14" w14:paraId="0B65FBC7" w14:textId="77777777" w:rsidTr="00BE766A">
        <w:trPr>
          <w:trHeight w:val="219"/>
        </w:trPr>
        <w:tc>
          <w:tcPr>
            <w:tcW w:w="1976" w:type="dxa"/>
            <w:vAlign w:val="center"/>
          </w:tcPr>
          <w:p w14:paraId="22807BF7" w14:textId="77777777" w:rsidR="009261AD" w:rsidRPr="00766C14" w:rsidRDefault="009261AD" w:rsidP="00BE766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</w:pPr>
            <w:r w:rsidRPr="00766C14"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  <w:t>Département</w:t>
            </w:r>
          </w:p>
        </w:tc>
        <w:tc>
          <w:tcPr>
            <w:tcW w:w="1800" w:type="dxa"/>
            <w:vAlign w:val="center"/>
          </w:tcPr>
          <w:p w14:paraId="36207CE9" w14:textId="77777777" w:rsidR="009261AD" w:rsidRPr="00766C14" w:rsidRDefault="009261AD" w:rsidP="00BE766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</w:pPr>
            <w:r w:rsidRPr="00766C14"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  <w:t>Génie Mécanique</w:t>
            </w:r>
          </w:p>
        </w:tc>
        <w:tc>
          <w:tcPr>
            <w:tcW w:w="2959" w:type="dxa"/>
            <w:vMerge/>
            <w:vAlign w:val="center"/>
          </w:tcPr>
          <w:p w14:paraId="1764C9BE" w14:textId="77777777" w:rsidR="009261AD" w:rsidRPr="00766C14" w:rsidRDefault="009261AD" w:rsidP="00BE766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181" w:type="dxa"/>
            <w:vMerge/>
            <w:shd w:val="clear" w:color="auto" w:fill="auto"/>
            <w:vAlign w:val="center"/>
          </w:tcPr>
          <w:p w14:paraId="109C425C" w14:textId="77777777" w:rsidR="009261AD" w:rsidRPr="00766C14" w:rsidRDefault="009261AD" w:rsidP="00BE766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 w:bidi="ar-DZ"/>
              </w:rPr>
            </w:pPr>
          </w:p>
        </w:tc>
        <w:tc>
          <w:tcPr>
            <w:tcW w:w="2363" w:type="dxa"/>
            <w:vMerge/>
            <w:vAlign w:val="center"/>
          </w:tcPr>
          <w:p w14:paraId="55AA9013" w14:textId="77777777" w:rsidR="009261AD" w:rsidRPr="00766C14" w:rsidRDefault="009261AD" w:rsidP="00BE766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fr-FR" w:eastAsia="fr-FR"/>
              </w:rPr>
            </w:pPr>
          </w:p>
        </w:tc>
      </w:tr>
    </w:tbl>
    <w:p w14:paraId="6278B0B9" w14:textId="77777777" w:rsidR="009261AD" w:rsidRDefault="009261AD" w:rsidP="009261A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DD6739">
        <w:rPr>
          <w:rFonts w:asciiTheme="majorBidi" w:hAnsiTheme="majorBidi" w:cstheme="majorBidi"/>
          <w:b/>
          <w:bCs/>
          <w:sz w:val="24"/>
          <w:szCs w:val="24"/>
          <w:lang w:val="fr-FR"/>
        </w:rPr>
        <w:t>Exercice 1:</w:t>
      </w:r>
    </w:p>
    <w:p w14:paraId="4B208239" w14:textId="77777777" w:rsidR="009261AD" w:rsidRPr="00E54C81" w:rsidRDefault="009261AD" w:rsidP="00E54C8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fr-FR"/>
        </w:rPr>
      </w:pPr>
      <w:r w:rsidRPr="00E54C81">
        <w:rPr>
          <w:rFonts w:asciiTheme="majorBidi" w:hAnsiTheme="majorBidi" w:cstheme="majorBidi"/>
          <w:color w:val="000000"/>
          <w:sz w:val="24"/>
          <w:szCs w:val="24"/>
          <w:lang w:val="fr-FR"/>
        </w:rPr>
        <w:t>En utilisant le critère algébrique de Routh-Hurwitz, déterminez la stabilité en boucle fermée des systèmes asservis suivants 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413"/>
      </w:tblGrid>
      <w:tr w:rsidR="009261AD" w:rsidRPr="00E54C81" w14:paraId="22CDB89B" w14:textId="77777777" w:rsidTr="009261AD">
        <w:trPr>
          <w:trHeight w:val="2045"/>
        </w:trPr>
        <w:tc>
          <w:tcPr>
            <w:tcW w:w="4874" w:type="dxa"/>
          </w:tcPr>
          <w:p w14:paraId="39309674" w14:textId="77777777" w:rsidR="009261AD" w:rsidRPr="00E54C81" w:rsidRDefault="009261AD" w:rsidP="00E54C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fr-FR"/>
              </w:rPr>
            </w:pPr>
            <w:r w:rsidRPr="00E54C81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fr-FR" w:eastAsia="fr-FR"/>
              </w:rPr>
              <w:drawing>
                <wp:inline distT="0" distB="0" distL="0" distR="0" wp14:anchorId="15584B88" wp14:editId="77566BA2">
                  <wp:extent cx="3023235" cy="1268730"/>
                  <wp:effectExtent l="19050" t="0" r="571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235" cy="1268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</w:tcPr>
          <w:p w14:paraId="1808C080" w14:textId="77777777" w:rsidR="009261AD" w:rsidRPr="00E54C81" w:rsidRDefault="009261AD" w:rsidP="00E54C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fr-FR"/>
              </w:rPr>
            </w:pPr>
            <w:r w:rsidRPr="00E54C81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fr-FR" w:eastAsia="fr-FR"/>
              </w:rPr>
              <w:drawing>
                <wp:inline distT="0" distB="0" distL="0" distR="0" wp14:anchorId="496C0DC7" wp14:editId="515962BC">
                  <wp:extent cx="2726724" cy="1480835"/>
                  <wp:effectExtent l="1905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204" cy="148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2FDE6F" w14:textId="77777777" w:rsidR="009261AD" w:rsidRPr="00E54C81" w:rsidRDefault="009261AD" w:rsidP="00E54C8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54C81">
        <w:rPr>
          <w:rFonts w:asciiTheme="majorBidi" w:hAnsiTheme="majorBidi" w:cstheme="majorBidi"/>
          <w:b/>
          <w:bCs/>
          <w:sz w:val="24"/>
          <w:szCs w:val="24"/>
          <w:lang w:val="fr-FR"/>
        </w:rPr>
        <w:t>Exercice</w:t>
      </w:r>
      <w:r w:rsidR="00E54C81" w:rsidRPr="00E54C81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2</w:t>
      </w:r>
      <w:r w:rsidRPr="00E54C81">
        <w:rPr>
          <w:rFonts w:asciiTheme="majorBidi" w:hAnsiTheme="majorBidi" w:cstheme="majorBidi"/>
          <w:b/>
          <w:bCs/>
          <w:sz w:val="24"/>
          <w:szCs w:val="24"/>
          <w:lang w:val="fr-FR"/>
        </w:rPr>
        <w:t>:</w:t>
      </w:r>
    </w:p>
    <w:p w14:paraId="4C753725" w14:textId="77777777" w:rsidR="002006C2" w:rsidRPr="00E54C81" w:rsidRDefault="009261AD" w:rsidP="00E54C8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fr-FR"/>
        </w:rPr>
      </w:pPr>
      <w:r w:rsidRPr="00E54C81">
        <w:rPr>
          <w:rFonts w:asciiTheme="majorBidi" w:hAnsiTheme="majorBidi" w:cstheme="majorBidi"/>
          <w:color w:val="000000"/>
          <w:sz w:val="24"/>
          <w:szCs w:val="24"/>
          <w:lang w:val="fr-FR"/>
        </w:rPr>
        <w:t>On considère les systèmes de</w:t>
      </w:r>
      <w:r w:rsidR="002006C2" w:rsidRPr="00E54C81">
        <w:rPr>
          <w:rFonts w:asciiTheme="majorBidi" w:hAnsiTheme="majorBidi" w:cstheme="majorBidi"/>
          <w:color w:val="000000"/>
          <w:sz w:val="24"/>
          <w:szCs w:val="24"/>
          <w:lang w:val="fr-FR"/>
        </w:rPr>
        <w:t>s</w:t>
      </w:r>
      <w:r w:rsidRPr="00E54C81">
        <w:rPr>
          <w:rFonts w:asciiTheme="majorBidi" w:hAnsiTheme="majorBidi" w:cstheme="majorBidi"/>
          <w:color w:val="000000"/>
          <w:sz w:val="24"/>
          <w:szCs w:val="24"/>
          <w:lang w:val="fr-FR"/>
        </w:rPr>
        <w:t xml:space="preserve"> fonction</w:t>
      </w:r>
      <w:r w:rsidR="002006C2" w:rsidRPr="00E54C81">
        <w:rPr>
          <w:rFonts w:asciiTheme="majorBidi" w:hAnsiTheme="majorBidi" w:cstheme="majorBidi"/>
          <w:color w:val="000000"/>
          <w:sz w:val="24"/>
          <w:szCs w:val="24"/>
          <w:lang w:val="fr-FR"/>
        </w:rPr>
        <w:t>s</w:t>
      </w:r>
      <w:r w:rsidRPr="00E54C81">
        <w:rPr>
          <w:rFonts w:asciiTheme="majorBidi" w:hAnsiTheme="majorBidi" w:cstheme="majorBidi"/>
          <w:color w:val="000000"/>
          <w:sz w:val="24"/>
          <w:szCs w:val="24"/>
          <w:lang w:val="fr-FR"/>
        </w:rPr>
        <w:t xml:space="preserve"> de transfert en boucle ouverte G(p) définie par</w:t>
      </w:r>
    </w:p>
    <w:p w14:paraId="47D152B8" w14:textId="77777777" w:rsidR="009261AD" w:rsidRPr="00E54C81" w:rsidRDefault="002006C2" w:rsidP="00E54C8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E54C81">
        <w:rPr>
          <w:rFonts w:asciiTheme="majorBidi" w:hAnsiTheme="majorBidi" w:cstheme="majorBidi"/>
          <w:sz w:val="24"/>
          <w:szCs w:val="24"/>
          <w:lang w:val="fr-FR"/>
        </w:rPr>
        <w:t xml:space="preserve">a)    </w:t>
      </w:r>
      <w:r w:rsidRPr="00E54C81">
        <w:rPr>
          <w:rFonts w:asciiTheme="majorBidi" w:hAnsiTheme="majorBidi" w:cstheme="majorBidi"/>
          <w:position w:val="-28"/>
          <w:sz w:val="24"/>
          <w:szCs w:val="24"/>
          <w:lang w:val="fr-FR"/>
        </w:rPr>
        <w:object w:dxaOrig="1620" w:dyaOrig="660" w14:anchorId="6D2D9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27.75pt" o:ole="">
            <v:imagedata r:id="rId7" o:title=""/>
          </v:shape>
          <o:OLEObject Type="Embed" ProgID="Equation.DSMT4" ShapeID="_x0000_i1025" DrawAspect="Content" ObjectID="_1787499731" r:id="rId8"/>
        </w:object>
      </w:r>
    </w:p>
    <w:p w14:paraId="445F333C" w14:textId="77777777" w:rsidR="002006C2" w:rsidRPr="00E54C81" w:rsidRDefault="002006C2" w:rsidP="00E54C8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E54C81">
        <w:rPr>
          <w:rFonts w:asciiTheme="majorBidi" w:hAnsiTheme="majorBidi" w:cstheme="majorBidi"/>
          <w:sz w:val="24"/>
          <w:szCs w:val="24"/>
          <w:lang w:val="fr-FR"/>
        </w:rPr>
        <w:t xml:space="preserve">b)   </w:t>
      </w:r>
      <w:r w:rsidRPr="00E54C81">
        <w:rPr>
          <w:rFonts w:asciiTheme="majorBidi" w:hAnsiTheme="majorBidi" w:cstheme="majorBidi"/>
          <w:position w:val="-28"/>
          <w:sz w:val="24"/>
          <w:szCs w:val="24"/>
          <w:lang w:val="fr-FR"/>
        </w:rPr>
        <w:object w:dxaOrig="1840" w:dyaOrig="660" w14:anchorId="0A3FD212">
          <v:shape id="_x0000_i1026" type="#_x0000_t75" style="width:115.5pt;height:27.75pt" o:ole="">
            <v:imagedata r:id="rId9" o:title=""/>
          </v:shape>
          <o:OLEObject Type="Embed" ProgID="Equation.DSMT4" ShapeID="_x0000_i1026" DrawAspect="Content" ObjectID="_1787499732" r:id="rId10"/>
        </w:object>
      </w:r>
    </w:p>
    <w:p w14:paraId="133D6F33" w14:textId="77777777" w:rsidR="009261AD" w:rsidRPr="00E54C81" w:rsidRDefault="009261AD" w:rsidP="00E54C8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E54C81">
        <w:rPr>
          <w:rFonts w:asciiTheme="majorBidi" w:hAnsiTheme="majorBidi" w:cstheme="majorBidi"/>
          <w:sz w:val="24"/>
          <w:szCs w:val="24"/>
          <w:lang w:val="fr-FR"/>
        </w:rPr>
        <w:t>Est-ce que le</w:t>
      </w:r>
      <w:r w:rsidR="00E54C81"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E54C81">
        <w:rPr>
          <w:rFonts w:asciiTheme="majorBidi" w:hAnsiTheme="majorBidi" w:cstheme="majorBidi"/>
          <w:sz w:val="24"/>
          <w:szCs w:val="24"/>
          <w:lang w:val="fr-FR"/>
        </w:rPr>
        <w:t xml:space="preserve"> système</w:t>
      </w:r>
      <w:r w:rsidR="00E54C81"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E54C81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E54C81">
        <w:rPr>
          <w:rFonts w:asciiTheme="majorBidi" w:hAnsiTheme="majorBidi" w:cstheme="majorBidi"/>
          <w:sz w:val="24"/>
          <w:szCs w:val="24"/>
          <w:lang w:val="fr-FR"/>
        </w:rPr>
        <w:t>sont</w:t>
      </w:r>
      <w:r w:rsidRPr="00E54C81">
        <w:rPr>
          <w:rFonts w:asciiTheme="majorBidi" w:hAnsiTheme="majorBidi" w:cstheme="majorBidi"/>
          <w:sz w:val="24"/>
          <w:szCs w:val="24"/>
          <w:lang w:val="fr-FR"/>
        </w:rPr>
        <w:t xml:space="preserve"> stable</w:t>
      </w:r>
      <w:r w:rsidR="00E54C81"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E54C81">
        <w:rPr>
          <w:rFonts w:asciiTheme="majorBidi" w:hAnsiTheme="majorBidi" w:cstheme="majorBidi"/>
          <w:sz w:val="24"/>
          <w:szCs w:val="24"/>
          <w:lang w:val="fr-FR"/>
        </w:rPr>
        <w:t xml:space="preserve"> en boucle ouverte, expliquez-vous ?</w:t>
      </w:r>
    </w:p>
    <w:p w14:paraId="36DFA84E" w14:textId="77777777" w:rsidR="009261AD" w:rsidRPr="00E54C81" w:rsidRDefault="009261AD" w:rsidP="00E54C8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E54C81">
        <w:rPr>
          <w:rFonts w:asciiTheme="majorBidi" w:hAnsiTheme="majorBidi" w:cstheme="majorBidi"/>
          <w:sz w:val="24"/>
          <w:szCs w:val="24"/>
          <w:lang w:val="fr-FR"/>
        </w:rPr>
        <w:t>Déterminer à l’aide du critère de Nyquist les conditions de stabilité de ce</w:t>
      </w:r>
      <w:r w:rsidR="00E54C81"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E54C81">
        <w:rPr>
          <w:rFonts w:asciiTheme="majorBidi" w:hAnsiTheme="majorBidi" w:cstheme="majorBidi"/>
          <w:sz w:val="24"/>
          <w:szCs w:val="24"/>
          <w:lang w:val="fr-FR"/>
        </w:rPr>
        <w:t xml:space="preserve"> système</w:t>
      </w:r>
      <w:r w:rsidR="00E54C81"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E54C81">
        <w:rPr>
          <w:rFonts w:asciiTheme="majorBidi" w:hAnsiTheme="majorBidi" w:cstheme="majorBidi"/>
          <w:sz w:val="24"/>
          <w:szCs w:val="24"/>
          <w:lang w:val="fr-FR"/>
        </w:rPr>
        <w:t> ?</w:t>
      </w:r>
    </w:p>
    <w:p w14:paraId="3D489BB1" w14:textId="77777777" w:rsidR="009261AD" w:rsidRPr="00E54C81" w:rsidRDefault="009261AD" w:rsidP="00E54C8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E54C81">
        <w:rPr>
          <w:rFonts w:asciiTheme="majorBidi" w:hAnsiTheme="majorBidi" w:cstheme="majorBidi"/>
          <w:sz w:val="24"/>
          <w:szCs w:val="24"/>
          <w:lang w:val="fr-FR"/>
        </w:rPr>
        <w:t>Vérifier la stabilité du système par l’utilisation du critère de routh, lorsque le</w:t>
      </w:r>
      <w:r w:rsidR="00E54C81"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E54C81">
        <w:rPr>
          <w:rFonts w:asciiTheme="majorBidi" w:hAnsiTheme="majorBidi" w:cstheme="majorBidi"/>
          <w:sz w:val="24"/>
          <w:szCs w:val="24"/>
          <w:lang w:val="fr-FR"/>
        </w:rPr>
        <w:t xml:space="preserve"> système</w:t>
      </w:r>
      <w:r w:rsidR="00E54C81"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E54C81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E54C81">
        <w:rPr>
          <w:rFonts w:asciiTheme="majorBidi" w:hAnsiTheme="majorBidi" w:cstheme="majorBidi"/>
          <w:sz w:val="24"/>
          <w:szCs w:val="24"/>
          <w:lang w:val="fr-FR"/>
        </w:rPr>
        <w:t>sont</w:t>
      </w:r>
      <w:r w:rsidRPr="00E54C81">
        <w:rPr>
          <w:rFonts w:asciiTheme="majorBidi" w:hAnsiTheme="majorBidi" w:cstheme="majorBidi"/>
          <w:sz w:val="24"/>
          <w:szCs w:val="24"/>
          <w:lang w:val="fr-FR"/>
        </w:rPr>
        <w:t xml:space="preserve"> placé</w:t>
      </w:r>
      <w:r w:rsidR="00E54C81"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E54C81">
        <w:rPr>
          <w:rFonts w:asciiTheme="majorBidi" w:hAnsiTheme="majorBidi" w:cstheme="majorBidi"/>
          <w:sz w:val="24"/>
          <w:szCs w:val="24"/>
          <w:lang w:val="fr-FR"/>
        </w:rPr>
        <w:t xml:space="preserve"> dans une boucle à retour unitaire ?</w:t>
      </w:r>
    </w:p>
    <w:p w14:paraId="2589A999" w14:textId="77777777" w:rsidR="009261AD" w:rsidRPr="00E54C81" w:rsidRDefault="009261AD" w:rsidP="00E54C8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fr-FR"/>
        </w:rPr>
      </w:pPr>
      <w:r w:rsidRPr="00E54C81">
        <w:rPr>
          <w:rFonts w:asciiTheme="majorBidi" w:hAnsiTheme="majorBidi" w:cstheme="majorBidi"/>
          <w:b/>
          <w:color w:val="000000"/>
          <w:sz w:val="24"/>
          <w:szCs w:val="24"/>
          <w:lang w:val="fr-FR"/>
        </w:rPr>
        <w:t xml:space="preserve">Exercice N° 03 : </w:t>
      </w:r>
    </w:p>
    <w:p w14:paraId="2D3C1352" w14:textId="77777777" w:rsidR="009261AD" w:rsidRPr="00E54C81" w:rsidRDefault="009261AD" w:rsidP="00E54C8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fr-FR"/>
        </w:rPr>
      </w:pPr>
      <w:r w:rsidRPr="00E54C81">
        <w:rPr>
          <w:rFonts w:asciiTheme="majorBidi" w:hAnsiTheme="majorBidi" w:cstheme="majorBidi"/>
          <w:color w:val="000000"/>
          <w:sz w:val="24"/>
          <w:szCs w:val="24"/>
          <w:lang w:val="fr-FR"/>
        </w:rPr>
        <w:t>Considérons un système de fonction de transfert en boucle ouverte G(p) placé dans une boucle de régulation à retour unitaire,</w:t>
      </w:r>
    </w:p>
    <w:p w14:paraId="74BE083A" w14:textId="77777777" w:rsidR="009261AD" w:rsidRPr="00E54C81" w:rsidRDefault="009261AD" w:rsidP="00E54C8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E54C81">
        <w:rPr>
          <w:rFonts w:asciiTheme="majorBidi" w:hAnsiTheme="majorBidi" w:cstheme="majorBidi"/>
          <w:color w:val="000000"/>
          <w:sz w:val="24"/>
          <w:szCs w:val="24"/>
          <w:lang w:val="fr-FR"/>
        </w:rPr>
        <w:t xml:space="preserve">                                             </w:t>
      </w:r>
      <w:r w:rsidRPr="00E54C81">
        <w:rPr>
          <w:rFonts w:asciiTheme="majorBidi" w:hAnsiTheme="majorBidi" w:cstheme="majorBidi"/>
          <w:position w:val="-54"/>
          <w:sz w:val="24"/>
          <w:szCs w:val="24"/>
          <w:lang w:val="fr-FR"/>
        </w:rPr>
        <w:object w:dxaOrig="1680" w:dyaOrig="920" w14:anchorId="4D6ABEDA">
          <v:shape id="_x0000_i1027" type="#_x0000_t75" style="width:105.75pt;height:39pt" o:ole="">
            <v:imagedata r:id="rId11" o:title=""/>
          </v:shape>
          <o:OLEObject Type="Embed" ProgID="Equation.DSMT4" ShapeID="_x0000_i1027" DrawAspect="Content" ObjectID="_1787499733" r:id="rId12"/>
        </w:object>
      </w:r>
    </w:p>
    <w:p w14:paraId="394E984D" w14:textId="77777777" w:rsidR="009261AD" w:rsidRPr="00E54C81" w:rsidRDefault="009261AD" w:rsidP="00E54C8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E54C81">
        <w:rPr>
          <w:rFonts w:asciiTheme="majorBidi" w:hAnsiTheme="majorBidi" w:cstheme="majorBidi"/>
          <w:sz w:val="24"/>
          <w:szCs w:val="24"/>
          <w:lang w:val="fr-FR"/>
        </w:rPr>
        <w:t>Calculer la marge du gain de ce système ?</w:t>
      </w:r>
    </w:p>
    <w:p w14:paraId="173585EF" w14:textId="77777777" w:rsidR="009261AD" w:rsidRPr="00E54C81" w:rsidRDefault="009261AD" w:rsidP="00E54C8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E54C81">
        <w:rPr>
          <w:rFonts w:asciiTheme="majorBidi" w:hAnsiTheme="majorBidi" w:cstheme="majorBidi"/>
          <w:sz w:val="24"/>
          <w:szCs w:val="24"/>
          <w:lang w:val="fr-FR"/>
        </w:rPr>
        <w:t>Calculer  la marge de phase de ce système ?</w:t>
      </w:r>
    </w:p>
    <w:p w14:paraId="7B5FF1FF" w14:textId="77777777" w:rsidR="009261AD" w:rsidRPr="00E54C81" w:rsidRDefault="009261AD" w:rsidP="00E54C8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E54C81">
        <w:rPr>
          <w:rFonts w:asciiTheme="majorBidi" w:hAnsiTheme="majorBidi" w:cstheme="majorBidi"/>
          <w:sz w:val="24"/>
          <w:szCs w:val="24"/>
          <w:lang w:val="fr-FR"/>
        </w:rPr>
        <w:t>Est ce que le système est stable, expliquez-vous ?</w:t>
      </w:r>
    </w:p>
    <w:p w14:paraId="2AD3AB1D" w14:textId="77777777" w:rsidR="0097526E" w:rsidRPr="0087320B" w:rsidRDefault="0097526E">
      <w:pPr>
        <w:rPr>
          <w:lang w:val="fr-FR"/>
        </w:rPr>
      </w:pPr>
    </w:p>
    <w:sectPr w:rsidR="0097526E" w:rsidRPr="0087320B" w:rsidSect="00E85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A25CC"/>
    <w:multiLevelType w:val="hybridMultilevel"/>
    <w:tmpl w:val="7786BF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111E4"/>
    <w:multiLevelType w:val="hybridMultilevel"/>
    <w:tmpl w:val="F08E12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998232">
    <w:abstractNumId w:val="1"/>
  </w:num>
  <w:num w:numId="2" w16cid:durableId="64489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1AD"/>
    <w:rsid w:val="000315E2"/>
    <w:rsid w:val="00155B4E"/>
    <w:rsid w:val="002006C2"/>
    <w:rsid w:val="003752A2"/>
    <w:rsid w:val="004504DF"/>
    <w:rsid w:val="005D5608"/>
    <w:rsid w:val="0087320B"/>
    <w:rsid w:val="009261AD"/>
    <w:rsid w:val="0097526E"/>
    <w:rsid w:val="00DA325D"/>
    <w:rsid w:val="00E54C81"/>
    <w:rsid w:val="00E56866"/>
    <w:rsid w:val="00E85547"/>
    <w:rsid w:val="00F8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D3D4"/>
  <w15:docId w15:val="{4237BAB9-2EE5-453D-BE67-0CD99295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1AD"/>
    <w:rPr>
      <w:rFonts w:ascii="Calibri" w:eastAsia="Calibri" w:hAnsi="Calibri" w:cs="Arial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61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61AD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Hocine</dc:creator>
  <cp:lastModifiedBy>Hocine Guentri</cp:lastModifiedBy>
  <cp:revision>2</cp:revision>
  <dcterms:created xsi:type="dcterms:W3CDTF">2018-05-05T07:47:00Z</dcterms:created>
  <dcterms:modified xsi:type="dcterms:W3CDTF">2024-09-10T16:56:00Z</dcterms:modified>
</cp:coreProperties>
</file>