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 w:hint="cs"/>
          <w:b/>
          <w:bCs/>
          <w:sz w:val="28"/>
          <w:szCs w:val="32"/>
          <w:rtl/>
          <w:lang w:val="en-ZA" w:bidi="ar-AE"/>
        </w:rPr>
      </w:pPr>
      <w:r>
        <w:rPr>
          <w:rFonts w:ascii="Times New Roman" w:eastAsia="Calibri" w:hAnsi="Times New Roman" w:cs="Simplified Arabic" w:hint="cs"/>
          <w:b/>
          <w:bCs/>
          <w:sz w:val="28"/>
          <w:szCs w:val="32"/>
          <w:rtl/>
          <w:lang w:val="en-ZA" w:bidi="ar-AE"/>
        </w:rPr>
        <w:t>التقديم والتأخير:</w:t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 w:hint="cs"/>
          <w:sz w:val="28"/>
          <w:szCs w:val="32"/>
          <w:rtl/>
          <w:lang w:val="en-ZA" w:bidi="ar-AE"/>
        </w:rPr>
      </w:pPr>
      <w:r>
        <w:rPr>
          <w:rFonts w:ascii="Times New Roman" w:eastAsia="Calibri" w:hAnsi="Times New Roman" w:cs="Simplified Arabic" w:hint="cs"/>
          <w:b/>
          <w:bCs/>
          <w:sz w:val="28"/>
          <w:szCs w:val="32"/>
          <w:rtl/>
          <w:lang w:val="en-ZA" w:bidi="ar-AE"/>
        </w:rPr>
        <w:t>لنتتعرف على هذا الإجراء قمنا بتحليل الديوان ارهاصات سرابية</w:t>
      </w:r>
      <w:bookmarkStart w:id="0" w:name="_GoBack"/>
      <w:bookmarkEnd w:id="0"/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1ــ </w:t>
      </w:r>
      <w:r w:rsidRPr="003F6994">
        <w:rPr>
          <w:rFonts w:ascii="Times New Roman" w:eastAsia="Calibri" w:hAnsi="Times New Roman" w:cs="Simplified Arabic"/>
          <w:b/>
          <w:bCs/>
          <w:sz w:val="28"/>
          <w:szCs w:val="32"/>
          <w:rtl/>
          <w:lang w:val="en-ZA" w:bidi="ar-DZ"/>
        </w:rPr>
        <w:t>التقديم والتأخير:</w:t>
      </w: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 وجدنا الشاعر ينو</w:t>
      </w:r>
      <w:r w:rsidRPr="003F6994">
        <w:rPr>
          <w:rFonts w:ascii="Times New Roman" w:eastAsia="Calibri" w:hAnsi="Times New Roman" w:cs="Simplified Arabic" w:hint="cs"/>
          <w:sz w:val="28"/>
          <w:szCs w:val="32"/>
          <w:rtl/>
          <w:lang w:val="en-ZA" w:bidi="ar-DZ"/>
        </w:rPr>
        <w:t>ّ</w:t>
      </w: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ع في توزيع الوحدات اللغوية المكونة لتراكيبه الشعرية، فتارة يأتي بها دون تغيير، وتارة أخرى يكسر الروتين وينحرف عنه ليبث معاني جديدة أكثر جاذبية من التعابير الخاضعة للقوانين المبدئية(الأولية) في </w:t>
      </w:r>
      <w:r w:rsidRPr="003F6994">
        <w:rPr>
          <w:rFonts w:ascii="Times New Roman" w:eastAsia="Calibri" w:hAnsi="Times New Roman" w:cs="Simplified Arabic" w:hint="cs"/>
          <w:sz w:val="28"/>
          <w:szCs w:val="32"/>
          <w:rtl/>
          <w:lang w:val="en-ZA" w:bidi="ar-DZ"/>
        </w:rPr>
        <w:t>اللغة، من</w:t>
      </w: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 ذلك يقدم الجار والمجرور وهذه الظاهرة تشكل سمة بارزة في الديوان وهذه بعض من نماذجها،</w:t>
      </w:r>
      <w:r w:rsidRPr="003F6994">
        <w:rPr>
          <w:rFonts w:ascii="Times New Roman" w:eastAsia="Calibri" w:hAnsi="Times New Roman" w:cs="Simplified Arabic" w:hint="cs"/>
          <w:sz w:val="28"/>
          <w:szCs w:val="32"/>
          <w:rtl/>
          <w:lang w:val="en-ZA" w:bidi="ar-DZ"/>
        </w:rPr>
        <w:t xml:space="preserve"> حيث </w:t>
      </w: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قدّم الخبر على المبتدأ ومن ذلك </w:t>
      </w:r>
      <w:r w:rsidRPr="003F6994">
        <w:rPr>
          <w:rFonts w:ascii="Times New Roman" w:eastAsia="Calibri" w:hAnsi="Times New Roman" w:cs="Simplified Arabic" w:hint="cs"/>
          <w:sz w:val="28"/>
          <w:szCs w:val="32"/>
          <w:rtl/>
          <w:lang w:val="en-ZA" w:bidi="ar-DZ"/>
        </w:rPr>
        <w:t>قوله:</w:t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بهجة في الفجر أوراق الشجر </w:t>
      </w:r>
      <w:r w:rsidRPr="003F6994">
        <w:rPr>
          <w:rFonts w:ascii="Times New Roman" w:eastAsia="Calibri" w:hAnsi="Times New Roman" w:cs="Simplified Arabic"/>
          <w:sz w:val="28"/>
          <w:szCs w:val="32"/>
          <w:vertAlign w:val="superscript"/>
          <w:rtl/>
          <w:lang w:val="en-ZA" w:bidi="ar-DZ"/>
        </w:rPr>
        <w:footnoteReference w:id="1"/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فللتعبير عن جمال المنظر سُبِقَ المبتدأ بالخبر "بهجة" والجار والمجرور"في الفجر". </w:t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وفي مرات قليلة وجدناه قدّم الحال وجواب الشرط وهذه نماذج منها على </w:t>
      </w:r>
      <w:r w:rsidRPr="003F6994">
        <w:rPr>
          <w:rFonts w:ascii="Times New Roman" w:eastAsia="Calibri" w:hAnsi="Times New Roman" w:cs="Simplified Arabic" w:hint="cs"/>
          <w:sz w:val="28"/>
          <w:szCs w:val="32"/>
          <w:rtl/>
          <w:lang w:val="en-ZA" w:bidi="ar-DZ"/>
        </w:rPr>
        <w:t>الترتيب:</w:t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جاء في قصيدة "إلى الثالوث" تقديم الحال في </w:t>
      </w:r>
      <w:r w:rsidRPr="003F6994">
        <w:rPr>
          <w:rFonts w:ascii="Times New Roman" w:eastAsia="Calibri" w:hAnsi="Times New Roman" w:cs="Simplified Arabic" w:hint="cs"/>
          <w:sz w:val="28"/>
          <w:szCs w:val="32"/>
          <w:rtl/>
          <w:lang w:val="en-ZA" w:bidi="ar-DZ"/>
        </w:rPr>
        <w:t>قوله:</w:t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إيه يا أمواج </w:t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>هل في البحر غيري ...؟</w:t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b/>
          <w:bCs/>
          <w:sz w:val="28"/>
          <w:szCs w:val="32"/>
          <w:rtl/>
          <w:lang w:val="en-ZA" w:bidi="ar-DZ"/>
        </w:rPr>
        <w:t xml:space="preserve">هائما في الزورق المجنوني يجري </w:t>
      </w:r>
      <w:r w:rsidRPr="003F6994">
        <w:rPr>
          <w:rFonts w:ascii="Times New Roman" w:eastAsia="Calibri" w:hAnsi="Times New Roman" w:cs="Simplified Arabic"/>
          <w:b/>
          <w:bCs/>
          <w:sz w:val="28"/>
          <w:szCs w:val="32"/>
          <w:vertAlign w:val="superscript"/>
          <w:rtl/>
          <w:lang w:val="en-ZA" w:bidi="ar-DZ"/>
        </w:rPr>
        <w:footnoteReference w:id="2"/>
      </w: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 وجواب الشرط تقدم في قصيدة "إلى أشبال الجزائر"، يقول </w:t>
      </w:r>
      <w:r w:rsidRPr="003F6994">
        <w:rPr>
          <w:rFonts w:ascii="Times New Roman" w:eastAsia="Calibri" w:hAnsi="Times New Roman" w:cs="Simplified Arabic" w:hint="cs"/>
          <w:sz w:val="28"/>
          <w:szCs w:val="32"/>
          <w:rtl/>
          <w:lang w:val="en-ZA" w:bidi="ar-DZ"/>
        </w:rPr>
        <w:t>فيها:</w:t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وياساعدي خذ حسام العلا </w:t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فلا عاش من لم يكن كاللهب </w:t>
      </w:r>
      <w:r w:rsidRPr="003F6994">
        <w:rPr>
          <w:rFonts w:ascii="Times New Roman" w:eastAsia="Calibri" w:hAnsi="Times New Roman" w:cs="Simplified Arabic"/>
          <w:sz w:val="28"/>
          <w:szCs w:val="32"/>
          <w:vertAlign w:val="superscript"/>
          <w:rtl/>
          <w:lang w:val="en-ZA" w:bidi="ar-DZ"/>
        </w:rPr>
        <w:footnoteReference w:id="3"/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>كان بإمكان الشاعر أن يأتي بهذه التراكيب على صورتها العادية لكنه خالف ذلك رغبة منه في تفجير الدلالة أكثر وتمكينها لدى المتلقي</w:t>
      </w:r>
      <w:r w:rsidRPr="003F6994">
        <w:rPr>
          <w:rFonts w:ascii="Times New Roman" w:eastAsia="Calibri" w:hAnsi="Times New Roman" w:cs="Simplified Arabic"/>
          <w:sz w:val="28"/>
          <w:szCs w:val="32"/>
          <w:lang w:val="en-ZA" w:bidi="ar-DZ"/>
        </w:rPr>
        <w:t>.</w:t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>2</w:t>
      </w:r>
      <w:r w:rsidRPr="003F6994">
        <w:rPr>
          <w:rFonts w:ascii="Times New Roman" w:eastAsia="Calibri" w:hAnsi="Times New Roman" w:cs="Simplified Arabic"/>
          <w:b/>
          <w:bCs/>
          <w:sz w:val="28"/>
          <w:szCs w:val="32"/>
          <w:rtl/>
          <w:lang w:val="en-ZA" w:bidi="ar-DZ"/>
        </w:rPr>
        <w:t xml:space="preserve"> ــ </w:t>
      </w:r>
      <w:r w:rsidRPr="003F6994">
        <w:rPr>
          <w:rFonts w:ascii="Times New Roman" w:eastAsia="Calibri" w:hAnsi="Times New Roman" w:cs="Simplified Arabic" w:hint="cs"/>
          <w:b/>
          <w:bCs/>
          <w:sz w:val="28"/>
          <w:szCs w:val="32"/>
          <w:rtl/>
          <w:lang w:val="en-ZA" w:bidi="ar-DZ"/>
        </w:rPr>
        <w:t>الحذف:</w:t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 شكل هذا الانحراف سمة بارزة في الديوان وقد جاوز فيه الشاعر العشرين مرة، وقبل تمثيله نشير إلى تعريف أخذناه عن عبد </w:t>
      </w:r>
      <w:r w:rsidRPr="003F6994">
        <w:rPr>
          <w:rFonts w:ascii="Times New Roman" w:eastAsia="Calibri" w:hAnsi="Times New Roman" w:cs="Simplified Arabic" w:hint="cs"/>
          <w:sz w:val="28"/>
          <w:szCs w:val="32"/>
          <w:rtl/>
          <w:lang w:val="en-ZA" w:bidi="ar-DZ"/>
        </w:rPr>
        <w:t>القاهر الجرجاني</w:t>
      </w: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 جاء </w:t>
      </w:r>
      <w:r w:rsidRPr="003F6994">
        <w:rPr>
          <w:rFonts w:ascii="Times New Roman" w:eastAsia="Calibri" w:hAnsi="Times New Roman" w:cs="Simplified Arabic" w:hint="cs"/>
          <w:sz w:val="28"/>
          <w:szCs w:val="32"/>
          <w:rtl/>
          <w:lang w:val="en-ZA" w:bidi="ar-DZ"/>
        </w:rPr>
        <w:t>فيه:</w:t>
      </w: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"هو باب دقيق المسلك لطيف المأخذ عجيب الأمر شبيه بالسحر، فإنك ترى به ترك الذكر أفصح من الذكر والصمت عن الإفادة أزيد </w:t>
      </w:r>
      <w:r w:rsidRPr="003F6994">
        <w:rPr>
          <w:rFonts w:ascii="Times New Roman" w:eastAsia="Calibri" w:hAnsi="Times New Roman" w:cs="Simplified Arabic" w:hint="cs"/>
          <w:sz w:val="28"/>
          <w:szCs w:val="32"/>
          <w:rtl/>
          <w:lang w:val="en-ZA" w:bidi="ar-DZ"/>
        </w:rPr>
        <w:t>للإفادة،</w:t>
      </w: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 وتجدك أنطق ما تكون إذا لم </w:t>
      </w:r>
      <w:r w:rsidRPr="003F6994">
        <w:rPr>
          <w:rFonts w:ascii="Times New Roman" w:eastAsia="Calibri" w:hAnsi="Times New Roman" w:cs="Simplified Arabic" w:hint="cs"/>
          <w:sz w:val="28"/>
          <w:szCs w:val="32"/>
          <w:rtl/>
          <w:lang w:val="en-ZA" w:bidi="ar-DZ"/>
        </w:rPr>
        <w:t>تنطق، وأتم</w:t>
      </w: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 ما تكون بيانا إذا لم تبن" </w:t>
      </w:r>
      <w:r w:rsidRPr="003F6994">
        <w:rPr>
          <w:rFonts w:ascii="Times New Roman" w:eastAsia="Calibri" w:hAnsi="Times New Roman" w:cs="Simplified Arabic"/>
          <w:sz w:val="28"/>
          <w:szCs w:val="32"/>
          <w:vertAlign w:val="superscript"/>
          <w:rtl/>
          <w:lang w:val="en-ZA" w:bidi="ar-DZ"/>
        </w:rPr>
        <w:footnoteReference w:id="4"/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بهذا المنطلق يكون الحذف مصدر من مصادر الشعرية في الأعمال </w:t>
      </w:r>
      <w:r w:rsidRPr="003F6994">
        <w:rPr>
          <w:rFonts w:ascii="Times New Roman" w:eastAsia="Calibri" w:hAnsi="Times New Roman" w:cs="Simplified Arabic" w:hint="cs"/>
          <w:sz w:val="28"/>
          <w:szCs w:val="32"/>
          <w:rtl/>
          <w:lang w:val="en-ZA" w:bidi="ar-DZ"/>
        </w:rPr>
        <w:t>الإبداعية،</w:t>
      </w: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 ولأبي القاسم خمار شرف الامتياز بهذه الخاصية في ديوانه ومن نماذج هذا الإسقاط نجد: </w:t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b/>
          <w:bCs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 w:hint="cs"/>
          <w:b/>
          <w:bCs/>
          <w:sz w:val="28"/>
          <w:szCs w:val="32"/>
          <w:rtl/>
          <w:lang w:val="en-ZA" w:bidi="ar-DZ"/>
        </w:rPr>
        <w:t xml:space="preserve">1ـــ </w:t>
      </w:r>
      <w:r w:rsidRPr="003F6994">
        <w:rPr>
          <w:rFonts w:ascii="Times New Roman" w:eastAsia="Calibri" w:hAnsi="Times New Roman" w:cs="Simplified Arabic"/>
          <w:b/>
          <w:bCs/>
          <w:sz w:val="28"/>
          <w:szCs w:val="32"/>
          <w:rtl/>
          <w:lang w:val="en-ZA" w:bidi="ar-DZ"/>
        </w:rPr>
        <w:t xml:space="preserve">حذف المسند في الجملة </w:t>
      </w:r>
      <w:r w:rsidRPr="003F6994">
        <w:rPr>
          <w:rFonts w:ascii="Times New Roman" w:eastAsia="Calibri" w:hAnsi="Times New Roman" w:cs="Simplified Arabic" w:hint="cs"/>
          <w:b/>
          <w:bCs/>
          <w:sz w:val="28"/>
          <w:szCs w:val="32"/>
          <w:rtl/>
          <w:lang w:val="en-ZA" w:bidi="ar-DZ"/>
        </w:rPr>
        <w:t>الفعلية:</w:t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ورد في قصيدة "حديث الإسلام "حين أشار إلى فرقة الأمة </w:t>
      </w:r>
      <w:r w:rsidRPr="003F6994">
        <w:rPr>
          <w:rFonts w:ascii="Times New Roman" w:eastAsia="Calibri" w:hAnsi="Times New Roman" w:cs="Simplified Arabic" w:hint="cs"/>
          <w:sz w:val="28"/>
          <w:szCs w:val="32"/>
          <w:rtl/>
          <w:lang w:val="en-ZA" w:bidi="ar-DZ"/>
        </w:rPr>
        <w:t>الإسلامية:</w:t>
      </w:r>
    </w:p>
    <w:p w:rsidR="003F6994" w:rsidRPr="003F6994" w:rsidRDefault="003F6994" w:rsidP="003F6994">
      <w:pPr>
        <w:bidi/>
        <w:spacing w:after="0"/>
        <w:ind w:firstLine="425"/>
        <w:jc w:val="both"/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</w:pPr>
      <w:r w:rsidRPr="003F6994">
        <w:rPr>
          <w:rFonts w:ascii="Times New Roman" w:eastAsia="Calibri" w:hAnsi="Times New Roman" w:cs="Simplified Arabic"/>
          <w:sz w:val="28"/>
          <w:szCs w:val="32"/>
          <w:rtl/>
          <w:lang w:val="en-ZA" w:bidi="ar-DZ"/>
        </w:rPr>
        <w:t xml:space="preserve">فابن شرقية يتيه برأي    وابن غربية برأي ثان </w:t>
      </w:r>
      <w:r w:rsidRPr="003F6994">
        <w:rPr>
          <w:rFonts w:ascii="Times New Roman" w:eastAsia="Calibri" w:hAnsi="Times New Roman" w:cs="Simplified Arabic"/>
          <w:sz w:val="28"/>
          <w:szCs w:val="32"/>
          <w:vertAlign w:val="superscript"/>
          <w:rtl/>
          <w:lang w:val="en-ZA" w:bidi="ar-DZ"/>
        </w:rPr>
        <w:footnoteReference w:id="5"/>
      </w:r>
    </w:p>
    <w:p w:rsidR="001D0B7B" w:rsidRDefault="001D0B7B" w:rsidP="003F6994">
      <w:pPr>
        <w:jc w:val="right"/>
        <w:rPr>
          <w:lang w:bidi="ar-DZ"/>
        </w:rPr>
      </w:pPr>
    </w:p>
    <w:sectPr w:rsidR="001D0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AF" w:rsidRDefault="002D4CAF" w:rsidP="003F6994">
      <w:pPr>
        <w:spacing w:after="0" w:line="240" w:lineRule="auto"/>
      </w:pPr>
      <w:r>
        <w:separator/>
      </w:r>
    </w:p>
  </w:endnote>
  <w:endnote w:type="continuationSeparator" w:id="0">
    <w:p w:rsidR="002D4CAF" w:rsidRDefault="002D4CAF" w:rsidP="003F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AF" w:rsidRDefault="002D4CAF" w:rsidP="003F6994">
      <w:pPr>
        <w:spacing w:after="0" w:line="240" w:lineRule="auto"/>
      </w:pPr>
      <w:r>
        <w:separator/>
      </w:r>
    </w:p>
  </w:footnote>
  <w:footnote w:type="continuationSeparator" w:id="0">
    <w:p w:rsidR="002D4CAF" w:rsidRDefault="002D4CAF" w:rsidP="003F6994">
      <w:pPr>
        <w:spacing w:after="0" w:line="240" w:lineRule="auto"/>
      </w:pPr>
      <w:r>
        <w:continuationSeparator/>
      </w:r>
    </w:p>
  </w:footnote>
  <w:footnote w:id="1">
    <w:p w:rsidR="003F6994" w:rsidRPr="005D0DE6" w:rsidRDefault="003F6994" w:rsidP="003F6994">
      <w:pPr>
        <w:pStyle w:val="FootnoteText"/>
        <w:bidi/>
        <w:rPr>
          <w:rFonts w:ascii="Simplified Arabic" w:hAnsi="Simplified Arabic"/>
          <w:sz w:val="24"/>
          <w:szCs w:val="24"/>
          <w:rtl/>
          <w:lang w:bidi="ar-DZ"/>
        </w:rPr>
      </w:pPr>
      <w:r w:rsidRPr="005D0DE6">
        <w:rPr>
          <w:rStyle w:val="FootnoteReference"/>
          <w:rFonts w:ascii="Simplified Arabic" w:hAnsi="Simplified Arabic"/>
          <w:sz w:val="24"/>
          <w:szCs w:val="24"/>
        </w:rPr>
        <w:footnoteRef/>
      </w:r>
      <w:r w:rsidRPr="005D0DE6">
        <w:rPr>
          <w:rFonts w:ascii="Simplified Arabic" w:hAnsi="Simplified Arabic"/>
          <w:sz w:val="24"/>
          <w:szCs w:val="24"/>
        </w:rPr>
        <w:t xml:space="preserve"> </w:t>
      </w:r>
      <w:r w:rsidRPr="005D0DE6">
        <w:rPr>
          <w:rFonts w:ascii="Simplified Arabic" w:hAnsi="Simplified Arabic"/>
          <w:sz w:val="24"/>
          <w:szCs w:val="24"/>
          <w:rtl/>
        </w:rPr>
        <w:t>المصدر نفسه،ص420.</w:t>
      </w:r>
      <w:r w:rsidRPr="005D0DE6">
        <w:rPr>
          <w:rFonts w:ascii="Simplified Arabic" w:hAnsi="Simplified Arabic"/>
          <w:sz w:val="24"/>
          <w:szCs w:val="24"/>
        </w:rPr>
        <w:t xml:space="preserve"> </w:t>
      </w:r>
    </w:p>
  </w:footnote>
  <w:footnote w:id="2">
    <w:p w:rsidR="003F6994" w:rsidRPr="005D0DE6" w:rsidRDefault="003F6994" w:rsidP="003F6994">
      <w:pPr>
        <w:pStyle w:val="FootnoteText"/>
        <w:bidi/>
        <w:rPr>
          <w:rFonts w:ascii="Simplified Arabic" w:hAnsi="Simplified Arabic"/>
          <w:sz w:val="24"/>
          <w:szCs w:val="24"/>
          <w:rtl/>
          <w:lang w:bidi="ar-DZ"/>
        </w:rPr>
      </w:pPr>
      <w:r w:rsidRPr="005D0DE6">
        <w:rPr>
          <w:rStyle w:val="FootnoteReference"/>
          <w:rFonts w:ascii="Simplified Arabic" w:hAnsi="Simplified Arabic"/>
          <w:sz w:val="24"/>
          <w:szCs w:val="24"/>
        </w:rPr>
        <w:footnoteRef/>
      </w:r>
      <w:r w:rsidRPr="005D0DE6">
        <w:rPr>
          <w:rFonts w:ascii="Simplified Arabic" w:hAnsi="Simplified Arabic"/>
          <w:sz w:val="24"/>
          <w:szCs w:val="24"/>
        </w:rPr>
        <w:t xml:space="preserve"> </w:t>
      </w:r>
      <w:r w:rsidRPr="005D0DE6">
        <w:rPr>
          <w:rFonts w:ascii="Simplified Arabic" w:hAnsi="Simplified Arabic"/>
          <w:sz w:val="24"/>
          <w:szCs w:val="24"/>
          <w:rtl/>
        </w:rPr>
        <w:t xml:space="preserve">محمد </w:t>
      </w:r>
      <w:r w:rsidRPr="005D0DE6">
        <w:rPr>
          <w:rFonts w:ascii="Simplified Arabic" w:hAnsi="Simplified Arabic"/>
          <w:sz w:val="24"/>
          <w:szCs w:val="24"/>
          <w:rtl/>
        </w:rPr>
        <w:t>بلقاسم خمار،ديوان محمد بلقاسم خمار،مج2 ص476.</w:t>
      </w:r>
      <w:r w:rsidRPr="005D0DE6">
        <w:rPr>
          <w:rFonts w:ascii="Simplified Arabic" w:hAnsi="Simplified Arabic"/>
          <w:sz w:val="24"/>
          <w:szCs w:val="24"/>
        </w:rPr>
        <w:t xml:space="preserve"> </w:t>
      </w:r>
    </w:p>
  </w:footnote>
  <w:footnote w:id="3">
    <w:p w:rsidR="003F6994" w:rsidRPr="005D0DE6" w:rsidRDefault="003F6994" w:rsidP="003F6994">
      <w:pPr>
        <w:pStyle w:val="FootnoteText"/>
        <w:bidi/>
        <w:rPr>
          <w:rFonts w:ascii="Simplified Arabic" w:hAnsi="Simplified Arabic"/>
          <w:sz w:val="24"/>
          <w:szCs w:val="24"/>
          <w:rtl/>
          <w:lang w:bidi="ar-DZ"/>
        </w:rPr>
      </w:pPr>
      <w:r w:rsidRPr="005D0DE6">
        <w:rPr>
          <w:rStyle w:val="FootnoteReference"/>
          <w:rFonts w:ascii="Simplified Arabic" w:hAnsi="Simplified Arabic"/>
          <w:sz w:val="24"/>
          <w:szCs w:val="24"/>
        </w:rPr>
        <w:footnoteRef/>
      </w:r>
      <w:r w:rsidRPr="005D0DE6">
        <w:rPr>
          <w:rFonts w:ascii="Simplified Arabic" w:hAnsi="Simplified Arabic"/>
          <w:sz w:val="24"/>
          <w:szCs w:val="24"/>
        </w:rPr>
        <w:t xml:space="preserve"> </w:t>
      </w:r>
      <w:r w:rsidRPr="005D0DE6">
        <w:rPr>
          <w:rFonts w:ascii="Simplified Arabic" w:hAnsi="Simplified Arabic"/>
          <w:sz w:val="24"/>
          <w:szCs w:val="24"/>
          <w:rtl/>
        </w:rPr>
        <w:t xml:space="preserve">المصدر </w:t>
      </w:r>
      <w:r w:rsidRPr="005D0DE6">
        <w:rPr>
          <w:rFonts w:ascii="Simplified Arabic" w:hAnsi="Simplified Arabic"/>
          <w:sz w:val="24"/>
          <w:szCs w:val="24"/>
          <w:rtl/>
        </w:rPr>
        <w:t>نفسه ،مج2ص414.</w:t>
      </w:r>
      <w:r w:rsidRPr="005D0DE6">
        <w:rPr>
          <w:rFonts w:ascii="Simplified Arabic" w:hAnsi="Simplified Arabic"/>
          <w:sz w:val="24"/>
          <w:szCs w:val="24"/>
        </w:rPr>
        <w:t xml:space="preserve"> </w:t>
      </w:r>
    </w:p>
  </w:footnote>
  <w:footnote w:id="4">
    <w:p w:rsidR="003F6994" w:rsidRPr="005D0DE6" w:rsidRDefault="003F6994" w:rsidP="003F6994">
      <w:pPr>
        <w:pStyle w:val="FootnoteText"/>
        <w:bidi/>
        <w:rPr>
          <w:rFonts w:ascii="Simplified Arabic" w:hAnsi="Simplified Arabic"/>
          <w:sz w:val="24"/>
          <w:szCs w:val="24"/>
          <w:rtl/>
          <w:lang w:bidi="ar-DZ"/>
        </w:rPr>
      </w:pPr>
      <w:r w:rsidRPr="005D0DE6">
        <w:rPr>
          <w:rStyle w:val="FootnoteReference"/>
          <w:rFonts w:ascii="Simplified Arabic" w:hAnsi="Simplified Arabic"/>
          <w:sz w:val="24"/>
          <w:szCs w:val="24"/>
        </w:rPr>
        <w:footnoteRef/>
      </w:r>
      <w:r w:rsidRPr="005D0DE6">
        <w:rPr>
          <w:rFonts w:ascii="Simplified Arabic" w:hAnsi="Simplified Arabic"/>
          <w:sz w:val="24"/>
          <w:szCs w:val="24"/>
        </w:rPr>
        <w:t xml:space="preserve"> </w:t>
      </w:r>
      <w:r w:rsidRPr="005D0DE6">
        <w:rPr>
          <w:rFonts w:ascii="Simplified Arabic" w:hAnsi="Simplified Arabic"/>
          <w:sz w:val="24"/>
          <w:szCs w:val="24"/>
          <w:rtl/>
        </w:rPr>
        <w:t xml:space="preserve">عبد </w:t>
      </w:r>
      <w:r w:rsidRPr="005D0DE6">
        <w:rPr>
          <w:rFonts w:ascii="Simplified Arabic" w:hAnsi="Simplified Arabic"/>
          <w:sz w:val="24"/>
          <w:szCs w:val="24"/>
          <w:rtl/>
        </w:rPr>
        <w:t>القاهر الجرجاني،كتاب دلائل الإعجاز،قرأه وعلق عليه أبو فهر محمود محمد شاكر،دد،دت، ص146.</w:t>
      </w:r>
      <w:r w:rsidRPr="005D0DE6">
        <w:rPr>
          <w:rFonts w:ascii="Simplified Arabic" w:hAnsi="Simplified Arabic"/>
          <w:sz w:val="24"/>
          <w:szCs w:val="24"/>
        </w:rPr>
        <w:t xml:space="preserve"> </w:t>
      </w:r>
    </w:p>
  </w:footnote>
  <w:footnote w:id="5">
    <w:p w:rsidR="003F6994" w:rsidRPr="005D0DE6" w:rsidRDefault="003F6994" w:rsidP="003F6994">
      <w:pPr>
        <w:pStyle w:val="FootnoteText"/>
        <w:bidi/>
        <w:rPr>
          <w:rFonts w:ascii="Simplified Arabic" w:hAnsi="Simplified Arabic"/>
          <w:sz w:val="24"/>
          <w:szCs w:val="24"/>
          <w:rtl/>
          <w:lang w:bidi="ar-DZ"/>
        </w:rPr>
      </w:pPr>
      <w:r w:rsidRPr="005D0DE6">
        <w:rPr>
          <w:rStyle w:val="FootnoteReference"/>
          <w:rFonts w:ascii="Simplified Arabic" w:hAnsi="Simplified Arabic"/>
          <w:sz w:val="24"/>
          <w:szCs w:val="24"/>
        </w:rPr>
        <w:footnoteRef/>
      </w:r>
      <w:r w:rsidRPr="005D0DE6">
        <w:rPr>
          <w:rFonts w:ascii="Simplified Arabic" w:hAnsi="Simplified Arabic"/>
          <w:sz w:val="24"/>
          <w:szCs w:val="24"/>
        </w:rPr>
        <w:t xml:space="preserve"> </w:t>
      </w:r>
      <w:r w:rsidRPr="005D0DE6">
        <w:rPr>
          <w:rFonts w:ascii="Simplified Arabic" w:hAnsi="Simplified Arabic"/>
          <w:sz w:val="24"/>
          <w:szCs w:val="24"/>
          <w:rtl/>
        </w:rPr>
        <w:t xml:space="preserve">المصدر </w:t>
      </w:r>
      <w:r w:rsidRPr="005D0DE6">
        <w:rPr>
          <w:rFonts w:ascii="Simplified Arabic" w:hAnsi="Simplified Arabic"/>
          <w:sz w:val="24"/>
          <w:szCs w:val="24"/>
          <w:rtl/>
        </w:rPr>
        <w:t>نفسه ص486.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20"/>
    <w:rsid w:val="001D0B7B"/>
    <w:rsid w:val="002D4CAF"/>
    <w:rsid w:val="003F6994"/>
    <w:rsid w:val="009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F69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69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69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F69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69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6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Hassani</dc:creator>
  <cp:keywords/>
  <dc:description/>
  <cp:lastModifiedBy>Hassani</cp:lastModifiedBy>
  <cp:revision>2</cp:revision>
  <dcterms:created xsi:type="dcterms:W3CDTF">2024-12-13T18:27:00Z</dcterms:created>
  <dcterms:modified xsi:type="dcterms:W3CDTF">2024-12-13T18:30:00Z</dcterms:modified>
</cp:coreProperties>
</file>